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0C3AB0" w:rsidRDefault="000C3AB0">
      <w:r>
        <w:t>Wind dominates new power generation capacity in 2014</w:t>
      </w:r>
    </w:p>
    <w:p w:rsidR="000C3AB0" w:rsidRDefault="000C3AB0"/>
    <w:p w:rsidR="000C3AB0" w:rsidRDefault="000C3AB0">
      <w:hyperlink r:id="rId4" w:history="1">
        <w:r w:rsidRPr="00135DA4">
          <w:rPr>
            <w:rStyle w:val="Hyperlink"/>
          </w:rPr>
          <w:t>http://www.greentechmedia.com/articles/read/Chart-Wind-Dominates-the-37GW-of-Power-Under-Construction</w:t>
        </w:r>
      </w:hyperlink>
    </w:p>
    <w:p w:rsidR="000C3AB0" w:rsidRDefault="000C3AB0"/>
    <w:sectPr w:rsidR="000C3AB0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0C3AB0"/>
    <w:rsid w:val="000C3AB0"/>
    <w:rsid w:val="001A1053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ntechmedia.com/articles/read/Chart-Wind-Dominates-the-37GW-of-Power-Under-Constr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2014-05-06T21:12:00Z</dcterms:created>
  <dcterms:modified xsi:type="dcterms:W3CDTF">2014-05-06T21:13:00Z</dcterms:modified>
</cp:coreProperties>
</file>